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1.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rPr>
          <w:lang w:val="de-DE"/>
        </w:rPr>
      </w:pPr>
      <w:r>
        <w:rPr>
          <w:lang w:val="de-DE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bidi w:val="0"/>
            <w:rPr/>
          </w:pPr>
          <w:r>
            <w:rPr/>
            <w:t>IT-Notfallplan: Stand 2025-09-20</w:t>
          </w:r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r>
            <w:fldChar w:fldCharType="begin"/>
          </w:r>
          <w:r>
            <w:rPr>
              <w:rStyle w:val="IndexLink"/>
            </w:rPr>
            <w:instrText xml:space="preserve"> TOC \f \o "1-9" \h</w:instrText>
          </w:r>
          <w:r>
            <w:rPr>
              <w:rStyle w:val="IndexLink"/>
            </w:rPr>
            <w:fldChar w:fldCharType="separate"/>
          </w:r>
          <w:hyperlink w:anchor="__RefHeading___Toc220_4187026063" w:tooltip="Vorbereitung, Training &amp; BCM">
            <w:r>
              <w:rPr>
                <w:rStyle w:val="IndexLink"/>
              </w:rPr>
              <w:t>1. Vorbereitung, Training &amp; BCM</w:t>
              <w:tab/>
              <w:t>2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22_4187026063" w:tooltip="Einschlag">
            <w:r>
              <w:rPr>
                <w:rStyle w:val="IndexLink"/>
              </w:rPr>
              <w:t>2. Einschlag</w:t>
              <w:tab/>
              <w:t>3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24_4187026063" w:tooltip="Erste Hilfe">
            <w:r>
              <w:rPr>
                <w:rStyle w:val="IndexLink"/>
              </w:rPr>
              <w:t>3. Erste Hilfe</w:t>
              <w:tab/>
              <w:t>4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26_4187026063" w:tooltip="Kommunikation">
            <w:r>
              <w:rPr>
                <w:rStyle w:val="IndexLink"/>
              </w:rPr>
              <w:t>4. Kommunikation</w:t>
              <w:tab/>
              <w:t>5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28_4187026063" w:tooltip="Erste Ordnung: Kernsysteme">
            <w:r>
              <w:rPr>
                <w:rStyle w:val="IndexLink"/>
              </w:rPr>
              <w:t>5. Erste Ordnung: Kernsysteme</w:t>
              <w:tab/>
              <w:t>6</w:t>
            </w:r>
          </w:hyperlink>
        </w:p>
        <w:p>
          <w:pPr>
            <w:pStyle w:val="TOC3"/>
            <w:tabs>
              <w:tab w:val="clear" w:pos="9071"/>
              <w:tab w:val="right" w:pos="9637" w:leader="dot"/>
            </w:tabs>
            <w:bidi w:val="0"/>
            <w:rPr/>
          </w:pPr>
          <w:hyperlink w:anchor="__RefHeading___Toc246_4187026063_Copy_1" w:tooltip="TOP3 Kernsysteme">
            <w:r>
              <w:rPr>
                <w:rStyle w:val="IndexLink"/>
              </w:rPr>
              <w:t>TOP3 Kernsysteme</w:t>
              <w:tab/>
              <w:t>6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30_4187026063" w:tooltip="Aufgabenverteilung">
            <w:r>
              <w:rPr>
                <w:rStyle w:val="IndexLink"/>
              </w:rPr>
              <w:t>6. Aufgabenverteilung</w:t>
              <w:tab/>
              <w:t>7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32_4187026063" w:tooltip="Zweite Ordnung: Kern- und Umsysteme">
            <w:r>
              <w:rPr>
                <w:rStyle w:val="IndexLink"/>
              </w:rPr>
              <w:t>7. Zweite Ordnung: Kern- und Umsysteme</w:t>
              <w:tab/>
              <w:t>8</w:t>
            </w:r>
          </w:hyperlink>
        </w:p>
        <w:p>
          <w:pPr>
            <w:pStyle w:val="TOC3"/>
            <w:tabs>
              <w:tab w:val="clear" w:pos="9071"/>
              <w:tab w:val="right" w:pos="9637" w:leader="dot"/>
            </w:tabs>
            <w:bidi w:val="0"/>
            <w:rPr/>
          </w:pPr>
          <w:hyperlink w:anchor="__RefHeading___Toc246_4187026063_Copy_1_" w:tooltip="TOP5 Umsysteme">
            <w:r>
              <w:rPr>
                <w:rStyle w:val="IndexLink"/>
              </w:rPr>
              <w:t>TOP5 Umsysteme</w:t>
              <w:tab/>
              <w:t>8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34_4187026063" w:tooltip="Übersicht">
            <w:r>
              <w:rPr>
                <w:rStyle w:val="IndexLink"/>
              </w:rPr>
              <w:t>8. Übersicht</w:t>
              <w:tab/>
              <w:t>9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36_4187026063" w:tooltip="Lernkurve">
            <w:r>
              <w:rPr>
                <w:rStyle w:val="IndexLink"/>
              </w:rPr>
              <w:t>9. Lernkurve</w:t>
              <w:tab/>
              <w:t>10</w:t>
            </w:r>
          </w:hyperlink>
        </w:p>
        <w:p>
          <w:pPr>
            <w:pStyle w:val="TOC1"/>
            <w:tabs>
              <w:tab w:val="clear" w:pos="9638"/>
              <w:tab w:val="right" w:pos="9637" w:leader="dot"/>
            </w:tabs>
            <w:bidi w:val="0"/>
            <w:rPr/>
          </w:pPr>
          <w:hyperlink w:anchor="__RefHeading___Toc238_4187026063" w:tooltip="Kontakte">
            <w:r>
              <w:rPr>
                <w:rStyle w:val="IndexLink"/>
              </w:rPr>
              <w:t>10. Kontakte</w:t>
              <w:tab/>
              <w:t>11</w:t>
            </w:r>
          </w:hyperlink>
        </w:p>
        <w:p>
          <w:pPr>
            <w:pStyle w:val="TOC3"/>
            <w:tabs>
              <w:tab w:val="clear" w:pos="9071"/>
              <w:tab w:val="right" w:pos="9637" w:leader="dot"/>
            </w:tabs>
            <w:bidi w:val="0"/>
            <w:rPr/>
          </w:pPr>
          <w:hyperlink w:anchor="__RefHeading___Toc240_4187026063" w:tooltip="Intern: Unternehmensführung">
            <w:r>
              <w:rPr>
                <w:rStyle w:val="IndexLink"/>
              </w:rPr>
              <w:t>Intern: Unternehmensführung</w:t>
              <w:tab/>
              <w:t>11</w:t>
            </w:r>
          </w:hyperlink>
        </w:p>
        <w:p>
          <w:pPr>
            <w:pStyle w:val="TOC3"/>
            <w:tabs>
              <w:tab w:val="clear" w:pos="9071"/>
              <w:tab w:val="right" w:pos="9637" w:leader="dot"/>
            </w:tabs>
            <w:bidi w:val="0"/>
            <w:rPr/>
          </w:pPr>
          <w:hyperlink w:anchor="__RefHeading___Toc242_4187026063" w:tooltip="Intern: IT-Notfallstab">
            <w:r>
              <w:rPr>
                <w:rStyle w:val="IndexLink"/>
              </w:rPr>
              <w:t>Intern: IT-Notfallstab</w:t>
              <w:tab/>
              <w:t>11</w:t>
            </w:r>
          </w:hyperlink>
        </w:p>
        <w:p>
          <w:pPr>
            <w:pStyle w:val="TOC3"/>
            <w:tabs>
              <w:tab w:val="clear" w:pos="9071"/>
              <w:tab w:val="right" w:pos="9637" w:leader="dot"/>
            </w:tabs>
            <w:bidi w:val="0"/>
            <w:rPr/>
          </w:pPr>
          <w:hyperlink w:anchor="__RefHeading___Toc244_4187026063" w:tooltip="Extern: Cyber-Versicherung &amp; IT-Dienstleister">
            <w:r>
              <w:rPr>
                <w:rStyle w:val="IndexLink"/>
              </w:rPr>
              <w:t>Extern: Cyber-Versicherung &amp; IT-Dienstleister</w:t>
              <w:tab/>
              <w:t>11</w:t>
            </w:r>
          </w:hyperlink>
        </w:p>
        <w:p>
          <w:pPr>
            <w:pStyle w:val="TOC3"/>
            <w:tabs>
              <w:tab w:val="clear" w:pos="9071"/>
              <w:tab w:val="right" w:pos="9637" w:leader="dot"/>
            </w:tabs>
            <w:bidi w:val="0"/>
            <w:rPr/>
          </w:pPr>
          <w:hyperlink w:anchor="__RefHeading___Toc246_4187026063" w:tooltip="Extern: TOP5 Kunden &amp; Lieferanten">
            <w:r>
              <w:rPr>
                <w:rStyle w:val="IndexLink"/>
              </w:rPr>
              <w:t>Extern: TOP5 Kunden &amp; Lieferanten</w:t>
              <w:tab/>
              <w:t>11</w:t>
            </w:r>
          </w:hyperlink>
          <w:r>
            <w:rPr>
              <w:rStyle w:val="IndexLink"/>
            </w:rPr>
            <w:fldChar w:fldCharType="end"/>
          </w:r>
        </w:p>
      </w:sdtContent>
    </w:sdt>
    <w:p>
      <w:pPr>
        <w:pStyle w:val="BodyText"/>
        <w:bidi w:val="0"/>
        <w:rPr>
          <w:b/>
          <w:bCs/>
          <w:lang w:val="de-DE"/>
        </w:rPr>
      </w:pPr>
      <w:r>
        <w:rPr>
          <w:b/>
          <w:bCs/>
          <w:lang w:val="de-DE"/>
        </w:rPr>
      </w:r>
    </w:p>
    <w:p>
      <w:pPr>
        <w:pStyle w:val="BodyText"/>
        <w:bidi w:val="0"/>
        <w:rPr>
          <w:lang w:val="de-DE"/>
        </w:rPr>
      </w:pPr>
      <w:r>
        <w:rPr>
          <w:b/>
          <w:bCs/>
          <w:lang w:val="de-DE"/>
        </w:rPr>
        <w:t xml:space="preserve">Notizen für </w:t>
      </w:r>
      <w:r>
        <w:rPr>
          <w:b/>
          <w:bCs/>
          <w:lang w:val="de-DE"/>
        </w:rPr>
        <w:t xml:space="preserve">die </w:t>
      </w:r>
      <w:r>
        <w:rPr>
          <w:b/>
          <w:bCs/>
          <w:lang w:val="de-DE"/>
        </w:rPr>
        <w:t xml:space="preserve">Erstellung </w:t>
      </w:r>
      <w:r>
        <w:rPr>
          <w:b/>
          <w:bCs/>
          <w:lang w:val="de-DE"/>
        </w:rPr>
        <w:t xml:space="preserve">des </w:t>
      </w:r>
      <w:r>
        <w:rPr>
          <w:b/>
          <w:bCs/>
          <w:lang w:val="de-DE"/>
        </w:rPr>
        <w:t>IT-</w:t>
      </w:r>
      <w:r>
        <w:rPr>
          <w:b/>
          <w:bCs/>
          <w:lang w:val="de-DE"/>
        </w:rPr>
        <w:t>Notfallplan</w:t>
      </w:r>
    </w:p>
    <w:p>
      <w:pPr>
        <w:pStyle w:val="BodyText"/>
        <w:numPr>
          <w:ilvl w:val="0"/>
          <w:numId w:val="2"/>
        </w:numPr>
        <w:bidi w:val="0"/>
        <w:rPr>
          <w:lang w:val="de-DE"/>
        </w:rPr>
      </w:pPr>
      <w:r>
        <w:rPr>
          <w:b/>
          <w:bCs/>
          <w:lang w:val="de-DE"/>
        </w:rPr>
        <w:t>Gestaltung</w:t>
      </w:r>
      <w:r>
        <w:rPr>
          <w:lang w:val="de-DE"/>
        </w:rPr>
        <w:t xml:space="preserve">: </w:t>
      </w:r>
      <w:r>
        <w:rPr>
          <w:lang w:val="de-DE"/>
        </w:rPr>
        <w:t>Achten Sie auf „Druckbarkeit“, d.h. formatieren Sie evtl. URL/ Links „lesbar“</w:t>
      </w:r>
    </w:p>
    <w:p>
      <w:pPr>
        <w:pStyle w:val="BodyText"/>
        <w:numPr>
          <w:ilvl w:val="1"/>
          <w:numId w:val="2"/>
        </w:numPr>
        <w:bidi w:val="0"/>
        <w:rPr/>
      </w:pPr>
      <w:r>
        <w:rPr>
          <w:lang w:val="de-DE"/>
        </w:rPr>
        <w:t xml:space="preserve">Schlecht: Hier der </w:t>
      </w:r>
      <w:hyperlink r:id="rId2">
        <w:r>
          <w:rPr>
            <w:rStyle w:val="Hyperlink"/>
            <w:lang w:val="de-DE"/>
          </w:rPr>
          <w:t>Link-BSI</w:t>
        </w:r>
      </w:hyperlink>
    </w:p>
    <w:p>
      <w:pPr>
        <w:pStyle w:val="BodyText"/>
        <w:numPr>
          <w:ilvl w:val="1"/>
          <w:numId w:val="2"/>
        </w:numPr>
        <w:bidi w:val="0"/>
        <w:rPr/>
      </w:pPr>
      <w:r>
        <w:rPr>
          <w:lang w:val="de-DE"/>
        </w:rPr>
        <w:t xml:space="preserve">Gut und lang: </w:t>
      </w:r>
      <w:hyperlink r:id="rId3">
        <w:r>
          <w:rPr>
            <w:rStyle w:val="Hyperlink"/>
            <w:sz w:val="20"/>
            <w:lang w:val="de-DE"/>
          </w:rPr>
          <w:drawing>
            <wp:anchor behindDoc="0" distT="0" distB="0" distL="0" distR="0" simplePos="0" locked="0" layoutInCell="1" allowOverlap="1" relativeHeight="13">
              <wp:simplePos x="0" y="0"/>
              <wp:positionH relativeFrom="column">
                <wp:posOffset>5187950</wp:posOffset>
              </wp:positionH>
              <wp:positionV relativeFrom="paragraph">
                <wp:posOffset>440690</wp:posOffset>
              </wp:positionV>
              <wp:extent cx="993775" cy="972185"/>
              <wp:effectExtent l="0" t="0" r="0" b="0"/>
              <wp:wrapNone/>
              <wp:docPr id="1" name="QR-Cod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QR-Code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rcRect l="2920" t="3015" r="2948" b="396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93775" cy="9721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hyperlink>
      <w:r>
        <w:rPr>
          <w:rStyle w:val="Hyperlink"/>
          <w:sz w:val="20"/>
          <w:lang w:val="de-DE"/>
        </w:rPr>
        <w:t>https://www.bsi.bund.de/DE/Themen/Unternehmen-und-Organisationen/Standards-und-Zertifizierung/IT-Grundschutz/BSI-Standards/BSI-Standard-200-4-Business-Continuity-Management/BSI-Standard-200-4_Hilfsmittel/BSI_Standard_200_4_Hilfsmittel_node.html</w:t>
      </w:r>
    </w:p>
    <w:p>
      <w:pPr>
        <w:pStyle w:val="BodyText"/>
        <w:numPr>
          <w:ilvl w:val="1"/>
          <w:numId w:val="2"/>
        </w:numPr>
        <w:bidi w:val="0"/>
        <w:rPr/>
      </w:pPr>
      <w:r>
        <w:rPr>
          <w:lang w:val="de-DE"/>
        </w:rPr>
        <w:t>Gut und kur</w:t>
      </w:r>
      <w:r>
        <w:rPr>
          <w:lang w:val="de-DE"/>
        </w:rPr>
        <w:t>z:</w:t>
      </w:r>
      <w:r>
        <w:rPr>
          <w:lang w:val="de-DE"/>
        </w:rPr>
        <w:t xml:space="preserve"> </w:t>
      </w:r>
      <w:hyperlink r:id="rId5">
        <w:r>
          <w:rPr>
            <w:rStyle w:val="Hyperlink"/>
            <w:lang w:val="de-DE"/>
          </w:rPr>
          <w:t>https://t1p.de/00e5p</w:t>
        </w:r>
      </w:hyperlink>
    </w:p>
    <w:p>
      <w:pPr>
        <w:pStyle w:val="BodyText"/>
        <w:numPr>
          <w:ilvl w:val="1"/>
          <w:numId w:val="2"/>
        </w:numPr>
        <w:bidi w:val="0"/>
        <w:rPr>
          <w:lang w:val="de-DE"/>
        </w:rPr>
      </w:pPr>
      <w:r>
        <w:rPr>
          <w:lang w:val="de-DE"/>
        </w:rPr>
        <w:t>Alternativ als QR-Code:</w:t>
      </w:r>
    </w:p>
    <w:p>
      <w:pPr>
        <w:pStyle w:val="BodyText"/>
        <w:numPr>
          <w:ilvl w:val="0"/>
          <w:numId w:val="2"/>
        </w:numPr>
        <w:bidi w:val="0"/>
        <w:rPr>
          <w:lang w:val="de-DE"/>
        </w:rPr>
      </w:pPr>
      <w:r>
        <w:rPr>
          <w:b/>
          <w:bCs/>
          <w:lang w:val="de-DE"/>
        </w:rPr>
        <w:t xml:space="preserve">Verteilerkreis </w:t>
      </w:r>
      <w:r>
        <w:rPr>
          <w:b/>
          <w:bCs/>
          <w:lang w:val="de-DE"/>
        </w:rPr>
        <w:t>&amp; Aufbewahrung</w:t>
      </w:r>
      <w:r>
        <w:rPr>
          <w:lang w:val="de-DE"/>
        </w:rPr>
        <w:t>:</w:t>
      </w:r>
    </w:p>
    <w:p>
      <w:pPr>
        <w:pStyle w:val="Normal"/>
        <w:bidi w:val="0"/>
        <w:jc w:val="both"/>
        <w:rPr/>
      </w:pPr>
      <w:r>
        <w:rPr/>
        <w:t xml:space="preserve">Ein </w:t>
      </w:r>
      <w:r>
        <w:rPr/>
        <w:t>IT-</w:t>
      </w:r>
      <w:r>
        <w:rPr/>
        <w:t>Notfallplan enthält sehr sensible und personenbezogene Daten. Daher wählen Sie den Verteilerkreis so klein wie möglich, z.B. Geschäftsführung, IT-Notfallstab, Rechtsbeistand</w:t>
      </w:r>
    </w:p>
    <w:p>
      <w:pPr>
        <w:pStyle w:val="BodyText"/>
        <w:numPr>
          <w:ilvl w:val="1"/>
          <w:numId w:val="2"/>
        </w:numPr>
        <w:bidi w:val="0"/>
        <w:rPr>
          <w:lang w:val="de-DE"/>
        </w:rPr>
      </w:pPr>
      <w:r>
        <w:rPr>
          <w:lang w:val="de-DE"/>
        </w:rPr>
        <w:t xml:space="preserve">Bewahren Sie den </w:t>
      </w:r>
      <w:r>
        <w:rPr>
          <w:i/>
          <w:iCs/>
          <w:lang w:val="de-DE"/>
        </w:rPr>
        <w:t>ausgedruckten</w:t>
      </w:r>
      <w:r>
        <w:rPr>
          <w:lang w:val="de-DE"/>
        </w:rPr>
        <w:t xml:space="preserve"> IT-</w:t>
      </w:r>
      <w:r>
        <w:rPr>
          <w:lang w:val="de-DE"/>
        </w:rPr>
        <w:t xml:space="preserve">Notfallplan nur an sicheren, abschliessbaren Orten auf, (Bank-)Safe, robuster, abschliessbarer Schrank, etc. Nutzen Sie </w:t>
      </w:r>
      <w:r>
        <w:rPr>
          <w:lang w:val="de-DE"/>
        </w:rPr>
        <w:t xml:space="preserve">für die </w:t>
      </w:r>
      <w:r>
        <w:rPr>
          <w:lang w:val="de-DE"/>
        </w:rPr>
        <w:t>digital</w:t>
      </w:r>
      <w:r>
        <w:rPr>
          <w:lang w:val="de-DE"/>
        </w:rPr>
        <w:t>e</w:t>
      </w:r>
      <w:r>
        <w:rPr>
          <w:lang w:val="de-DE"/>
        </w:rPr>
        <w:t xml:space="preserve"> </w:t>
      </w:r>
      <w:r>
        <w:rPr>
          <w:lang w:val="de-DE"/>
        </w:rPr>
        <w:t xml:space="preserve">Version </w:t>
      </w:r>
      <w:r>
        <w:rPr>
          <w:lang w:val="de-DE"/>
        </w:rPr>
        <w:t>einen dedizierten, mit MFA abgesicherten Speicherplatz, z.B. eigene Nextcloud Instanz.</w:t>
      </w:r>
    </w:p>
    <w:p>
      <w:pPr>
        <w:pStyle w:val="BodyText"/>
        <w:numPr>
          <w:ilvl w:val="0"/>
          <w:numId w:val="2"/>
        </w:numPr>
        <w:bidi w:val="0"/>
        <w:rPr>
          <w:lang w:val="de-DE"/>
        </w:rPr>
      </w:pPr>
      <w:r>
        <w:rPr>
          <w:b/>
          <w:bCs/>
          <w:lang w:val="de-DE"/>
        </w:rPr>
        <w:t>Aktualität</w:t>
      </w:r>
      <w:r>
        <w:rPr>
          <w:lang w:val="de-DE"/>
        </w:rPr>
        <w:t>: Ü</w:t>
      </w:r>
      <w:r>
        <w:rPr>
          <w:lang w:val="de-DE"/>
        </w:rPr>
        <w:t xml:space="preserve">berprüfen Sie die Aktualität </w:t>
      </w:r>
      <w:r>
        <w:rPr>
          <w:lang w:val="de-DE"/>
        </w:rPr>
        <w:t xml:space="preserve">(Kontakte etc.) </w:t>
      </w:r>
      <w:r>
        <w:rPr>
          <w:lang w:val="de-DE"/>
        </w:rPr>
        <w:t xml:space="preserve">mindestens einmal pro Quartal. Setzen </w:t>
      </w:r>
      <w:r>
        <w:rPr>
          <w:lang w:val="de-DE"/>
        </w:rPr>
        <w:t>Sie sich eine wiederkehrende Terminerinnerung.</w:t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0" w:name="__RefHeading___Toc220_4187026063"/>
      <w:bookmarkEnd w:id="0"/>
      <w:r>
        <w:rPr>
          <w:lang w:val="de-DE"/>
        </w:rPr>
        <w:t xml:space="preserve">Vorbereitung, </w:t>
      </w:r>
      <w:r>
        <w:rPr>
          <w:lang w:val="de-DE"/>
        </w:rPr>
        <w:t xml:space="preserve">Training </w:t>
      </w:r>
      <w:r>
        <w:rPr>
          <w:lang w:val="de-DE"/>
        </w:rPr>
        <w:t>&amp; BCM</w:t>
      </w:r>
    </w:p>
    <w:p>
      <w:pPr>
        <w:pStyle w:val="BodyText"/>
        <w:numPr>
          <w:ilvl w:val="0"/>
          <w:numId w:val="3"/>
        </w:numPr>
        <w:bidi w:val="0"/>
        <w:rPr>
          <w:lang w:val="de-DE"/>
        </w:rPr>
      </w:pPr>
      <w:r>
        <w:rPr>
          <w:b/>
          <w:bCs/>
          <w:lang w:val="de-DE"/>
        </w:rPr>
        <w:t>Verantwortung</w:t>
      </w:r>
      <w:r>
        <w:rPr>
          <w:lang w:val="de-DE"/>
        </w:rPr>
        <w:t xml:space="preserve">: </w:t>
      </w:r>
      <w:r>
        <w:rPr>
          <w:lang w:val="de-DE"/>
        </w:rPr>
        <w:t>für den IT-Notfallplan ist verantwortlich...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in der Geschäftsführung: </w:t>
      </w:r>
      <w:r>
        <w:rPr>
          <w:shd w:fill="FFFF00" w:val="clear"/>
          <w:lang w:val="de-DE"/>
        </w:rPr>
        <w:t>Anrede Vorname Name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in der IT: </w:t>
      </w:r>
      <w:r>
        <w:rPr>
          <w:shd w:fill="FFFF00" w:val="clear"/>
          <w:lang w:val="de-DE"/>
        </w:rPr>
        <w:t>Anrede Vorname Name</w:t>
      </w:r>
    </w:p>
    <w:p>
      <w:pPr>
        <w:pStyle w:val="BodyText"/>
        <w:numPr>
          <w:ilvl w:val="0"/>
          <w:numId w:val="3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IT-Notfallstab:</w:t>
      </w:r>
    </w:p>
    <w:p>
      <w:pPr>
        <w:pStyle w:val="BodyText"/>
        <w:numPr>
          <w:ilvl w:val="1"/>
          <w:numId w:val="3"/>
        </w:numPr>
        <w:bidi w:val="0"/>
        <w:rPr>
          <w:b w:val="false"/>
          <w:bCs w:val="false"/>
          <w:lang w:val="de-DE"/>
        </w:rPr>
      </w:pPr>
      <w:r>
        <w:rPr>
          <w:b w:val="false"/>
          <w:bCs w:val="false"/>
          <w:lang w:val="de-DE"/>
        </w:rPr>
        <w:t>Der IT-Notfallstab ist definiert: Teilnehmer, Rollen, Aufgaben</w:t>
      </w:r>
    </w:p>
    <w:p>
      <w:pPr>
        <w:pStyle w:val="BodyText"/>
        <w:numPr>
          <w:ilvl w:val="1"/>
          <w:numId w:val="3"/>
        </w:numPr>
        <w:bidi w:val="0"/>
        <w:rPr>
          <w:b w:val="false"/>
          <w:bCs w:val="false"/>
          <w:shd w:fill="auto" w:val="clear"/>
          <w:lang w:val="de-DE"/>
        </w:rPr>
      </w:pPr>
      <w:r>
        <w:rPr>
          <w:b w:val="false"/>
          <w:bCs w:val="false"/>
          <w:shd w:fill="auto" w:val="clear"/>
          <w:lang w:val="de-DE"/>
        </w:rPr>
        <w:t>Statten Sie mindestens 1-2 IT-Mitarbeiter des IT-Notfallstabs (zusätzlich) mit Non-Windows Systemen wie z.B. Apple oder Linux aus</w:t>
      </w:r>
    </w:p>
    <w:p>
      <w:pPr>
        <w:pStyle w:val="BodyText"/>
        <w:numPr>
          <w:ilvl w:val="1"/>
          <w:numId w:val="3"/>
        </w:numPr>
        <w:bidi w:val="0"/>
        <w:rPr>
          <w:b w:val="false"/>
          <w:bCs w:val="false"/>
          <w:lang w:val="de-DE"/>
        </w:rPr>
      </w:pPr>
      <w:r>
        <w:rPr>
          <w:b w:val="false"/>
          <w:bCs w:val="false"/>
          <w:lang w:val="de-DE"/>
        </w:rPr>
        <w:t xml:space="preserve">Die „Out-Of-Band“-Kommunikation mit einer sicheren Nachrichten-App, z.B. Threema, ist etabliert und wird aktiv gelebt: </w:t>
      </w:r>
      <w:r>
        <w:rPr>
          <w:b w:val="false"/>
          <w:bCs w:val="false"/>
          <w:shd w:fill="FFFF00" w:val="clear"/>
          <w:lang w:val="de-DE"/>
        </w:rPr>
        <w:t>eingesetzte Nachrichten-App…</w:t>
      </w:r>
    </w:p>
    <w:p>
      <w:pPr>
        <w:pStyle w:val="BodyText"/>
        <w:numPr>
          <w:ilvl w:val="1"/>
          <w:numId w:val="3"/>
        </w:numPr>
        <w:bidi w:val="0"/>
        <w:rPr>
          <w:b w:val="false"/>
          <w:bCs w:val="false"/>
          <w:shd w:fill="FFFF00" w:val="clear"/>
          <w:lang w:val="de-DE"/>
        </w:rPr>
      </w:pPr>
      <w:r>
        <w:rPr>
          <w:b w:val="false"/>
          <w:bCs w:val="false"/>
          <w:shd w:fill="auto" w:val="clear"/>
          <w:lang w:val="de-DE"/>
        </w:rPr>
        <w:t xml:space="preserve">Ein sicherer online Speicherort ist eingerichtet, um Daten auch mit externen Teilnehmern </w:t>
      </w:r>
      <w:r>
        <w:rPr>
          <w:b w:val="false"/>
          <w:bCs w:val="false"/>
          <w:i/>
          <w:iCs/>
          <w:shd w:fill="auto" w:val="clear"/>
          <w:lang w:val="de-DE"/>
        </w:rPr>
        <w:t>schnell</w:t>
      </w:r>
      <w:r>
        <w:rPr>
          <w:b w:val="false"/>
          <w:bCs w:val="false"/>
          <w:shd w:fill="auto" w:val="clear"/>
          <w:lang w:val="de-DE"/>
        </w:rPr>
        <w:t xml:space="preserve"> </w:t>
      </w:r>
      <w:r>
        <w:rPr>
          <w:b w:val="false"/>
          <w:bCs w:val="false"/>
          <w:shd w:fill="auto" w:val="clear"/>
          <w:lang w:val="de-DE"/>
        </w:rPr>
        <w:t xml:space="preserve">auszutauschen, z.B. eigene Nextcloud: </w:t>
      </w:r>
      <w:r>
        <w:rPr>
          <w:b w:val="false"/>
          <w:bCs w:val="false"/>
          <w:shd w:fill="FFFF00" w:val="clear"/>
          <w:lang w:val="de-DE"/>
        </w:rPr>
        <w:t>eingesetzter Speicherort...</w:t>
      </w:r>
    </w:p>
    <w:p>
      <w:pPr>
        <w:pStyle w:val="BodyText"/>
        <w:numPr>
          <w:ilvl w:val="0"/>
          <w:numId w:val="3"/>
        </w:numPr>
        <w:bidi w:val="0"/>
        <w:rPr>
          <w:lang w:val="de-DE"/>
        </w:rPr>
      </w:pPr>
      <w:r>
        <w:rPr>
          <w:b/>
          <w:bCs/>
          <w:lang w:val="de-DE"/>
        </w:rPr>
        <w:t>IT-Sicherheit</w:t>
      </w:r>
      <w:r>
        <w:rPr>
          <w:lang w:val="de-DE"/>
        </w:rPr>
        <w:t>: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ALLE Endgeräte (Notebooks, PCs, etc.) sind mit aktueller IT-Sicherheitssoftware ausgestattet: </w:t>
      </w:r>
      <w:r>
        <w:rPr>
          <w:shd w:fill="FFFF00" w:val="clear"/>
          <w:lang w:val="de-DE"/>
        </w:rPr>
        <w:t>eingesetzte Software...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ALLE (virtuellen) Server sind mit aktueller IT-Sicherheitssoftware ausgestattet: </w:t>
      </w:r>
      <w:r>
        <w:rPr>
          <w:shd w:fill="FFFF00" w:val="clear"/>
          <w:lang w:val="de-DE"/>
        </w:rPr>
        <w:t>eingesetzte Software...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>ALLE Firewalls sind auf aktuellem Stand, erhalten regelmäßige Sicherheit</w:t>
      </w:r>
      <w:r>
        <w:rPr>
          <w:lang w:val="de-DE"/>
        </w:rPr>
        <w:t>s</w:t>
      </w:r>
      <w:r>
        <w:rPr>
          <w:lang w:val="de-DE"/>
        </w:rPr>
        <w:t xml:space="preserve">-Updates vom Hersteller </w:t>
      </w:r>
      <w:r>
        <w:rPr>
          <w:lang w:val="de-DE"/>
        </w:rPr>
        <w:t>und</w:t>
      </w:r>
      <w:r>
        <w:rPr>
          <w:lang w:val="de-DE"/>
        </w:rPr>
        <w:t xml:space="preserve"> sind in der (Software-)Wartung: </w:t>
      </w:r>
      <w:r>
        <w:rPr>
          <w:shd w:fill="FFFF00" w:val="clear"/>
          <w:lang w:val="de-DE"/>
        </w:rPr>
        <w:t>eingesetzte Software...</w:t>
      </w:r>
    </w:p>
    <w:p>
      <w:pPr>
        <w:pStyle w:val="BodyText"/>
        <w:numPr>
          <w:ilvl w:val="0"/>
          <w:numId w:val="3"/>
        </w:numPr>
        <w:bidi w:val="0"/>
        <w:rPr>
          <w:lang w:val="de-DE"/>
        </w:rPr>
      </w:pPr>
      <w:r>
        <w:rPr>
          <w:b/>
          <w:bCs/>
          <w:lang w:val="de-DE"/>
        </w:rPr>
        <w:t>Backup</w:t>
      </w:r>
      <w:r>
        <w:rPr>
          <w:lang w:val="de-DE"/>
        </w:rPr>
        <w:t>: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Ein geprüftes und aktuelles Backup-Konzept liegt vor: </w:t>
      </w:r>
      <w:r>
        <w:rPr>
          <w:shd w:fill="FFFF00" w:val="clear"/>
          <w:lang w:val="de-DE"/>
        </w:rPr>
        <w:t>Name, Speicherort...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Backups von allen relevanten Systemen werden regelmäßig durchgeführt und auf Wiederherstellung getestet: </w:t>
      </w:r>
      <w:r>
        <w:rPr>
          <w:shd w:fill="FFFF00" w:val="clear"/>
          <w:lang w:val="de-DE"/>
        </w:rPr>
        <w:t>eingesetzte Software...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Die Backups (Tapes/ HDDs, etc.) werden an mindestens zwei verschiedenen Orten aufbewahrt, z.B. anderes Gebäude, (Bank-)Safe, Nextcloud etc.: </w:t>
      </w:r>
      <w:r>
        <w:rPr>
          <w:shd w:fill="FFFF00" w:val="clear"/>
          <w:lang w:val="de-DE"/>
        </w:rPr>
        <w:t>Ort 1, Ort 2, Ort 3, ...</w:t>
      </w:r>
    </w:p>
    <w:p>
      <w:pPr>
        <w:pStyle w:val="BodyText"/>
        <w:numPr>
          <w:ilvl w:val="0"/>
          <w:numId w:val="3"/>
        </w:numPr>
        <w:bidi w:val="0"/>
        <w:rPr>
          <w:lang w:val="de-DE"/>
        </w:rPr>
      </w:pPr>
      <w:r>
        <w:rPr>
          <w:b/>
          <w:bCs/>
          <w:lang w:val="de-DE"/>
        </w:rPr>
        <w:t xml:space="preserve">BCM – </w:t>
      </w:r>
      <w:r>
        <w:rPr>
          <w:b/>
          <w:bCs/>
          <w:lang w:val="de-DE"/>
        </w:rPr>
        <w:t xml:space="preserve">Business </w:t>
      </w:r>
      <w:r>
        <w:rPr>
          <w:b/>
          <w:bCs/>
          <w:lang w:val="en-US"/>
        </w:rPr>
        <w:t>Continuity</w:t>
      </w:r>
      <w:r>
        <w:rPr>
          <w:b/>
          <w:bCs/>
          <w:lang w:val="de-DE"/>
        </w:rPr>
        <w:t xml:space="preserve"> Management</w:t>
      </w:r>
      <w:r>
        <w:rPr>
          <w:lang w:val="de-DE"/>
        </w:rPr>
        <w:t>: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Ein geprüftes und aktuelles BCM-Konzept liegt </w:t>
      </w:r>
      <w:r>
        <w:rPr>
          <w:i/>
          <w:iCs/>
          <w:lang w:val="de-DE"/>
        </w:rPr>
        <w:t>idealerweise</w:t>
      </w:r>
      <w:r>
        <w:rPr>
          <w:lang w:val="de-DE"/>
        </w:rPr>
        <w:t xml:space="preserve"> </w:t>
      </w:r>
      <w:r>
        <w:rPr>
          <w:lang w:val="de-DE"/>
        </w:rPr>
        <w:t xml:space="preserve">vor: </w:t>
      </w:r>
      <w:r>
        <w:rPr>
          <w:shd w:fill="FFFF00" w:val="clear"/>
          <w:lang w:val="de-DE"/>
        </w:rPr>
        <w:t>Name, Speicherort…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 xml:space="preserve">Kernpunkte sind z.B. </w:t>
      </w:r>
      <w:r>
        <w:rPr>
          <w:lang w:val="de-DE"/>
        </w:rPr>
        <w:t>Ausfall von: Telefonie, Email, File-Server, ERP, Endgeräte (Notebooks, PCs), Server, Backup-Server</w:t>
      </w:r>
    </w:p>
    <w:p>
      <w:pPr>
        <w:pStyle w:val="BodyText"/>
        <w:numPr>
          <w:ilvl w:val="1"/>
          <w:numId w:val="3"/>
        </w:numPr>
        <w:bidi w:val="0"/>
        <w:rPr>
          <w:lang w:val="de-DE"/>
        </w:rPr>
      </w:pPr>
      <w:r>
        <w:rPr>
          <w:lang w:val="de-DE"/>
        </w:rPr>
        <w:t>Jeweils b</w:t>
      </w:r>
      <w:r>
        <w:rPr>
          <w:lang w:val="de-DE"/>
        </w:rPr>
        <w:t>etrachtete Zeiträume: ein Tag, eine Woche, ein Monat</w:t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1" w:name="__RefHeading___Toc222_4187026063"/>
      <w:bookmarkEnd w:id="1"/>
      <w:r>
        <w:rPr>
          <w:lang w:val="de-DE"/>
        </w:rPr>
        <w:t>Einschlag</w:t>
      </w:r>
    </w:p>
    <w:p>
      <w:pPr>
        <w:pStyle w:val="BodyText"/>
        <w:numPr>
          <w:ilvl w:val="0"/>
          <w:numId w:val="4"/>
        </w:numPr>
        <w:bidi w:val="0"/>
        <w:rPr>
          <w:lang w:val="de-DE"/>
        </w:rPr>
      </w:pPr>
      <w:r>
        <w:rPr>
          <w:b/>
          <w:bCs/>
          <w:lang w:val="de-DE"/>
        </w:rPr>
        <w:t xml:space="preserve">Ruhe </w:t>
      </w:r>
      <w:r>
        <w:rPr>
          <w:b/>
          <w:bCs/>
          <w:lang w:val="de-DE"/>
        </w:rPr>
        <w:t xml:space="preserve">schaffen &amp; </w:t>
      </w:r>
      <w:r>
        <w:rPr>
          <w:b/>
          <w:bCs/>
          <w:lang w:val="de-DE"/>
        </w:rPr>
        <w:t>bewahren</w:t>
      </w:r>
      <w:r>
        <w:rPr>
          <w:lang w:val="de-DE"/>
        </w:rPr>
        <w:t>: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Hängen Sie ein Schild mit „IT-Notfall – bitte nicht stören!“ an Ihre Tür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Aktivieren Sie automatisches Antworten in Ihrem Email-Postfach für INTERN mit z.B. „IT-Notfall – wir sind dran!“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Setzen Sie eine Status-Meldung auf Teams etc. „IT-Notfall“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Starten Sie mit dem Team ein Logfile</w:t>
      </w:r>
      <w:r>
        <w:rPr>
          <w:lang w:val="de-DE"/>
        </w:rPr>
        <w:t>(s)</w:t>
      </w:r>
      <w:r>
        <w:rPr>
          <w:lang w:val="de-DE"/>
        </w:rPr>
        <w:t xml:space="preserve"> (.txt) und notieren Sie sich fortlaufend Stichpunkte </w:t>
      </w:r>
      <w:r>
        <w:rPr>
          <w:lang w:val="de-DE"/>
        </w:rPr>
        <w:t xml:space="preserve">oder nutzen Sie online Nexcloud Dokumente </w:t>
      </w:r>
      <w:r>
        <w:rPr>
          <w:lang w:val="de-DE"/>
        </w:rPr>
        <w:t>zum</w:t>
      </w:r>
      <w:r>
        <w:rPr>
          <w:lang w:val="de-DE"/>
        </w:rPr>
        <w:t xml:space="preserve"> zentralen Austausch</w:t>
      </w:r>
    </w:p>
    <w:p>
      <w:pPr>
        <w:pStyle w:val="BodyText"/>
        <w:numPr>
          <w:ilvl w:val="0"/>
          <w:numId w:val="4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Einsatz IT-Notfallstab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Bleiben Sie ruhig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Je nach Situation, setzen Sie alle Passwörter (der User) zurück und ändern entsprechende Administratoren Passwörter. Stellen Sie UNBEDINGT sicher, dies nur auf garantiert „sauberen“ Systemen durchzuführen (Key-Logger, etc.).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Schaffen Sie Struktur, z.B. kurze Team-Updates alle 30 Minuten.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Fokussieren Sie auf das wirklich Wesentliche. Trinken und Essen Sie, machen Sie kleine Pausen nach Absprache mit dem Team</w:t>
      </w:r>
    </w:p>
    <w:p>
      <w:pPr>
        <w:pStyle w:val="BodyText"/>
        <w:numPr>
          <w:ilvl w:val="0"/>
          <w:numId w:val="4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Kontakt IT-Sicherheit Dienstleister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"</w:t>
      </w:r>
      <w:r>
        <w:rPr>
          <w:lang w:val="en-US"/>
        </w:rPr>
        <w:t>First-Responder</w:t>
      </w:r>
      <w:r>
        <w:rPr>
          <w:lang w:val="de-DE"/>
        </w:rPr>
        <w:t xml:space="preserve"> &amp; Forensik"</w:t>
      </w:r>
    </w:p>
    <w:p>
      <w:pPr>
        <w:pStyle w:val="BodyText"/>
        <w:numPr>
          <w:ilvl w:val="2"/>
          <w:numId w:val="4"/>
        </w:numPr>
        <w:bidi w:val="0"/>
        <w:rPr>
          <w:lang w:val="de-DE"/>
        </w:rPr>
      </w:pPr>
      <w:r>
        <w:rPr>
          <w:lang w:val="de-DE"/>
        </w:rPr>
        <w:t xml:space="preserve">Nutzen Sie die Ihnen bereits bekannte Hotline und </w:t>
      </w:r>
      <w:r>
        <w:rPr>
          <w:lang w:val="de-DE"/>
        </w:rPr>
        <w:t>berichten kurz den Vorfall</w:t>
      </w:r>
    </w:p>
    <w:p>
      <w:pPr>
        <w:pStyle w:val="BodyText"/>
        <w:numPr>
          <w:ilvl w:val="2"/>
          <w:numId w:val="4"/>
        </w:numPr>
        <w:bidi w:val="0"/>
        <w:rPr>
          <w:lang w:val="de-DE"/>
        </w:rPr>
      </w:pPr>
      <w:r>
        <w:rPr>
          <w:lang w:val="de-DE"/>
        </w:rPr>
        <w:t xml:space="preserve">Starten Sie eine Video-Konferenz mit </w:t>
      </w:r>
      <w:r>
        <w:rPr>
          <w:lang w:val="de-DE"/>
        </w:rPr>
        <w:t xml:space="preserve">allen </w:t>
      </w:r>
      <w:r>
        <w:rPr>
          <w:lang w:val="de-DE"/>
        </w:rPr>
        <w:t xml:space="preserve">relevanten Teilnehmern, </w:t>
      </w:r>
      <w:r>
        <w:rPr>
          <w:lang w:val="de-DE"/>
        </w:rPr>
        <w:t xml:space="preserve">nutzen Sie, wenn möglich, immer den gleichen Termin/ Channel 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Cyber-Versicherung</w:t>
      </w:r>
    </w:p>
    <w:p>
      <w:pPr>
        <w:pStyle w:val="BodyText"/>
        <w:numPr>
          <w:ilvl w:val="2"/>
          <w:numId w:val="4"/>
        </w:numPr>
        <w:bidi w:val="0"/>
        <w:rPr>
          <w:lang w:val="de-DE"/>
        </w:rPr>
      </w:pPr>
      <w:r>
        <w:rPr>
          <w:lang w:val="de-DE"/>
        </w:rPr>
        <w:t>Melden Sie zeitnah den Vorfall Ihrer Cyber-Security Versicherung</w:t>
      </w:r>
    </w:p>
    <w:p>
      <w:pPr>
        <w:pStyle w:val="BodyText"/>
        <w:numPr>
          <w:ilvl w:val="2"/>
          <w:numId w:val="4"/>
        </w:numPr>
        <w:bidi w:val="0"/>
        <w:rPr>
          <w:lang w:val="de-DE"/>
        </w:rPr>
      </w:pPr>
      <w:r>
        <w:rPr>
          <w:lang w:val="de-DE"/>
        </w:rPr>
        <w:t>Idealerweise kann Sie hierbei der Rechtsbeistand unterstützen</w:t>
      </w:r>
    </w:p>
    <w:p>
      <w:pPr>
        <w:pStyle w:val="BodyText"/>
        <w:numPr>
          <w:ilvl w:val="1"/>
          <w:numId w:val="4"/>
        </w:numPr>
        <w:bidi w:val="0"/>
        <w:rPr>
          <w:lang w:val="de-DE"/>
        </w:rPr>
      </w:pPr>
      <w:r>
        <w:rPr>
          <w:lang w:val="de-DE"/>
        </w:rPr>
        <w:t>Hausbank</w:t>
      </w:r>
    </w:p>
    <w:p>
      <w:pPr>
        <w:pStyle w:val="BodyText"/>
        <w:numPr>
          <w:ilvl w:val="2"/>
          <w:numId w:val="4"/>
        </w:numPr>
        <w:bidi w:val="0"/>
        <w:rPr>
          <w:lang w:val="de-DE"/>
        </w:rPr>
      </w:pPr>
      <w:r>
        <w:rPr>
          <w:lang w:val="de-DE"/>
        </w:rPr>
        <w:t>Informieren Sie den Sicherheitsberater Ihrer Hausbank durch die Geschäftsleitung (CFO)</w:t>
      </w:r>
    </w:p>
    <w:p>
      <w:pPr>
        <w:pStyle w:val="BodyText"/>
        <w:numPr>
          <w:ilvl w:val="2"/>
          <w:numId w:val="4"/>
        </w:numPr>
        <w:bidi w:val="0"/>
        <w:rPr>
          <w:lang w:val="de-DE"/>
        </w:rPr>
      </w:pPr>
      <w:r>
        <w:rPr>
          <w:lang w:val="de-DE"/>
        </w:rPr>
        <w:t>Beraten Sie sich über zusätzliche (temporäre) Maßnahmen im speziell ausgehenden Zahlungstransfer</w:t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2" w:name="__RefHeading___Toc224_4187026063"/>
      <w:bookmarkEnd w:id="2"/>
      <w:r>
        <w:rPr>
          <w:lang w:val="de-DE"/>
        </w:rPr>
        <w:t>Erste Hilfe</w:t>
      </w:r>
    </w:p>
    <w:p>
      <w:pPr>
        <w:pStyle w:val="BodyText"/>
        <w:numPr>
          <w:ilvl w:val="0"/>
          <w:numId w:val="5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"Sicherheit geht vor."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lang w:val="de-DE"/>
        </w:rPr>
        <w:t>Leben geht vor. Ein brennender Server ist tragisch, kann aber ersetzt werden.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lang w:val="de-DE"/>
        </w:rPr>
        <w:t xml:space="preserve">Reagieren Sie </w:t>
      </w:r>
      <w:r>
        <w:rPr>
          <w:lang w:val="de-DE"/>
        </w:rPr>
        <w:t>ruhig</w:t>
      </w:r>
      <w:r>
        <w:rPr>
          <w:lang w:val="de-DE"/>
        </w:rPr>
        <w:t xml:space="preserve"> und entschlossen. </w:t>
      </w:r>
      <w:r>
        <w:rPr>
          <w:lang w:val="de-DE"/>
        </w:rPr>
        <w:t xml:space="preserve">Ein IT-Notfall ist ein Notfall. Es wird kollateral Schäden geben. </w:t>
      </w:r>
      <w:r>
        <w:rPr>
          <w:lang w:val="de-DE"/>
        </w:rPr>
        <w:t>Eine kurze Rücksprache mit dem Team kann hilfreich sein, um schnell ein Meinungsbild zu erhalten.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lang w:val="de-DE"/>
        </w:rPr>
        <w:t xml:space="preserve">Auch bei einem IT-Notfall müssen Sie irgendwann schlafen. Sprechen Sie sich, falls möglich, mit Ihrem Team ab. Nutzen Sie </w:t>
      </w:r>
      <w:r>
        <w:rPr>
          <w:lang w:val="en-US"/>
        </w:rPr>
        <w:t>Power-Naps</w:t>
      </w:r>
      <w:r>
        <w:rPr>
          <w:lang w:val="de-DE"/>
        </w:rPr>
        <w:t xml:space="preserve"> und das Notiz-Logfile </w:t>
      </w:r>
      <w:r>
        <w:rPr>
          <w:lang w:val="de-DE"/>
        </w:rPr>
        <w:t>(oder Nextcloud)</w:t>
      </w:r>
      <w:r>
        <w:rPr>
          <w:lang w:val="de-DE"/>
        </w:rPr>
        <w:t>, um sich schnell aufzufrischen.</w:t>
      </w:r>
    </w:p>
    <w:p>
      <w:pPr>
        <w:pStyle w:val="BodyText"/>
        <w:numPr>
          <w:ilvl w:val="0"/>
          <w:numId w:val="5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Betroffene IT-Systeme isolieren/ abschalten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b/>
          <w:bCs/>
          <w:lang w:val="de-DE"/>
        </w:rPr>
        <w:t>Operativ</w:t>
      </w:r>
      <w:r>
        <w:rPr>
          <w:lang w:val="de-DE"/>
        </w:rPr>
        <w:t xml:space="preserve">: je nach Sicherheitssoftware wird das betroffene/ kompromittierte System sofort isoliert. Bei manuellen Entscheidungen ist unsere Empfehlung: wenn Sie sich bei einem System unsicher sind, schalten Sie es aus. 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b/>
          <w:bCs/>
          <w:lang w:val="de-DE"/>
        </w:rPr>
        <w:t>Präventiv</w:t>
      </w:r>
      <w:r>
        <w:rPr>
          <w:lang w:val="de-DE"/>
        </w:rPr>
        <w:t>: fokussieren Sie sich auf das Kernsystem (ERP). Reduzieren Sie Einfallsvektoren und nehmen (Sekundär-)Umsysteme vom Netz, z.B. File-Server, Print-Server, Web-Portale, etc.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b/>
          <w:bCs/>
          <w:lang w:val="de-DE"/>
        </w:rPr>
        <w:t>Situativ</w:t>
      </w:r>
      <w:r>
        <w:rPr>
          <w:lang w:val="de-DE"/>
        </w:rPr>
        <w:t xml:space="preserve">: schränken Sie Zugänge (vorübergehend) stark ein, z.B. nach Geo-Daten oder Arbeitszeiten am Hauptstandort. </w:t>
      </w:r>
      <w:r>
        <w:rPr>
          <w:lang w:val="de-DE"/>
        </w:rPr>
        <w:t>Sicherheit geht vor.</w:t>
      </w:r>
    </w:p>
    <w:p>
      <w:pPr>
        <w:pStyle w:val="BodyText"/>
        <w:numPr>
          <w:ilvl w:val="0"/>
          <w:numId w:val="5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Auf "Notstrom" umschalten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lang w:val="de-DE"/>
        </w:rPr>
        <w:t>Eventuell müssen Sie bereits automatisierte Prozesse temporär teil-automatisieren mit manuellen Export- und Import Interim Prozessen.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lang w:val="de-DE"/>
        </w:rPr>
        <w:t xml:space="preserve">Bei </w:t>
      </w:r>
      <w:r>
        <w:rPr>
          <w:lang w:val="en-US"/>
        </w:rPr>
        <w:t>Ransomware</w:t>
      </w:r>
      <w:r>
        <w:rPr>
          <w:lang w:val="de-DE"/>
        </w:rPr>
        <w:t xml:space="preserve"> Attacken empfiehlt es sich, ausgewählten Key-Usern in den Fachabteilungen Non-Windows Systeme (temporär) zur Verfügung zu stellen, z.B. Apple, Linux</w:t>
      </w:r>
    </w:p>
    <w:p>
      <w:pPr>
        <w:pStyle w:val="BodyText"/>
        <w:numPr>
          <w:ilvl w:val="1"/>
          <w:numId w:val="5"/>
        </w:numPr>
        <w:bidi w:val="0"/>
        <w:rPr>
          <w:lang w:val="de-DE"/>
        </w:rPr>
      </w:pPr>
      <w:r>
        <w:rPr>
          <w:lang w:val="de-DE"/>
        </w:rPr>
        <w:t xml:space="preserve">Definieren Sie </w:t>
      </w:r>
      <w:r>
        <w:rPr>
          <w:lang w:val="de-DE"/>
        </w:rPr>
        <w:t>kurze Updates für die Key-User in den Fachabteilungen, z.B. alle zwei Stunden im Stand-Up Format, max. 10min</w:t>
      </w:r>
    </w:p>
    <w:p>
      <w:pPr>
        <w:pStyle w:val="Heading1"/>
        <w:numPr>
          <w:ilvl w:val="0"/>
          <w:numId w:val="0"/>
        </w:numPr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3" w:name="__RefHeading___Toc226_4187026063"/>
      <w:bookmarkEnd w:id="3"/>
      <w:r>
        <w:rPr>
          <w:lang w:val="de-DE"/>
        </w:rPr>
        <w:t>Kommunikation</w:t>
      </w:r>
    </w:p>
    <w:p>
      <w:pPr>
        <w:pStyle w:val="BodyText"/>
        <w:numPr>
          <w:ilvl w:val="0"/>
          <w:numId w:val="6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Unternehmensführung intern</w:t>
      </w:r>
    </w:p>
    <w:p>
      <w:pPr>
        <w:pStyle w:val="BodyText"/>
        <w:numPr>
          <w:ilvl w:val="1"/>
          <w:numId w:val="6"/>
        </w:numPr>
        <w:bidi w:val="0"/>
        <w:rPr>
          <w:lang w:val="de-DE"/>
        </w:rPr>
      </w:pPr>
      <w:r>
        <w:rPr>
          <w:lang w:val="de-DE"/>
        </w:rPr>
        <w:t>Ein Austausch zwischen Unternehmensführung und IT-Notfallstab empfiehlt sich ca. alle 4 Stunden für ca. 20min</w:t>
      </w:r>
    </w:p>
    <w:p>
      <w:pPr>
        <w:pStyle w:val="BodyText"/>
        <w:numPr>
          <w:ilvl w:val="1"/>
          <w:numId w:val="6"/>
        </w:numPr>
        <w:bidi w:val="0"/>
        <w:rPr>
          <w:lang w:val="de-DE"/>
        </w:rPr>
      </w:pPr>
      <w:r>
        <w:rPr>
          <w:lang w:val="de-DE"/>
        </w:rPr>
        <w:t>Je nach Situation gilt: „Das Gras wächst nicht schneller, wenn man daran zieht.“</w:t>
      </w:r>
    </w:p>
    <w:p>
      <w:pPr>
        <w:pStyle w:val="BodyText"/>
        <w:numPr>
          <w:ilvl w:val="0"/>
          <w:numId w:val="6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Mitarbeiter</w:t>
      </w:r>
    </w:p>
    <w:p>
      <w:pPr>
        <w:pStyle w:val="BodyText"/>
        <w:numPr>
          <w:ilvl w:val="1"/>
          <w:numId w:val="6"/>
        </w:numPr>
        <w:bidi w:val="0"/>
        <w:rPr>
          <w:lang w:val="de-DE"/>
        </w:rPr>
      </w:pPr>
      <w:r>
        <w:rPr>
          <w:lang w:val="de-DE"/>
        </w:rPr>
        <w:t>Informieren Sie Ihre Mitarbeiter einmal täglich, z.B. 18:00 Uhr über die Ereignisse des Tages. Je nach Situation über das „Schwarze Brett“ oder via Email an die geschäftliche oder private Email Adresse (mit Einverständnis).</w:t>
      </w:r>
    </w:p>
    <w:p>
      <w:pPr>
        <w:pStyle w:val="BodyText"/>
        <w:numPr>
          <w:ilvl w:val="1"/>
          <w:numId w:val="6"/>
        </w:numPr>
        <w:bidi w:val="0"/>
        <w:rPr>
          <w:lang w:val="de-DE"/>
        </w:rPr>
      </w:pPr>
      <w:r>
        <w:rPr>
          <w:lang w:val="de-DE"/>
        </w:rPr>
        <w:t xml:space="preserve">Finden Sie eine gute Mischung aus (vertraulichen) technischen Details und Relevanz für das Unternehmen. </w:t>
      </w:r>
    </w:p>
    <w:p>
      <w:pPr>
        <w:pStyle w:val="BodyText"/>
        <w:numPr>
          <w:ilvl w:val="0"/>
          <w:numId w:val="6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Extern</w:t>
      </w:r>
    </w:p>
    <w:p>
      <w:pPr>
        <w:pStyle w:val="BodyText"/>
        <w:numPr>
          <w:ilvl w:val="1"/>
          <w:numId w:val="6"/>
        </w:numPr>
        <w:bidi w:val="0"/>
        <w:rPr>
          <w:lang w:val="de-DE"/>
        </w:rPr>
      </w:pPr>
      <w:r>
        <w:rPr>
          <w:lang w:val="de-DE"/>
        </w:rPr>
        <w:t>Informieren Sie eventuell betroffene Kunden/ Partner umgehend. Besprechen Sie die Inhalte vorab mit Ihrem Rechtsbeistand und der Geschäftsführung.</w:t>
      </w:r>
    </w:p>
    <w:p>
      <w:pPr>
        <w:pStyle w:val="BodyText"/>
        <w:numPr>
          <w:ilvl w:val="1"/>
          <w:numId w:val="6"/>
        </w:numPr>
        <w:bidi w:val="0"/>
        <w:rPr>
          <w:lang w:val="de-DE"/>
        </w:rPr>
      </w:pPr>
      <w:r>
        <w:rPr>
          <w:lang w:val="de-DE"/>
        </w:rPr>
        <w:t xml:space="preserve">Falls Sie externe Web-Portale oder Webshops abschalten müssen, stellen Sie in der Zwischenzeit eine </w:t>
      </w:r>
      <w:r>
        <w:rPr>
          <w:lang w:val="de-DE"/>
        </w:rPr>
        <w:t xml:space="preserve">vorbereitete </w:t>
      </w:r>
      <w:r>
        <w:rPr>
          <w:lang w:val="de-DE"/>
        </w:rPr>
        <w:t xml:space="preserve">„Wartungsseite“ online. </w:t>
      </w:r>
    </w:p>
    <w:p>
      <w:pPr>
        <w:pStyle w:val="Heading1"/>
        <w:numPr>
          <w:ilvl w:val="0"/>
          <w:numId w:val="0"/>
        </w:numPr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4" w:name="__RefHeading___Toc228_4187026063"/>
      <w:bookmarkEnd w:id="4"/>
      <w:r>
        <w:rPr>
          <w:lang w:val="de-DE"/>
        </w:rPr>
        <w:t>Erste Ordnung: Kernsysteme</w:t>
      </w:r>
    </w:p>
    <w:p>
      <w:pPr>
        <w:pStyle w:val="BodyText"/>
        <w:numPr>
          <w:ilvl w:val="0"/>
          <w:numId w:val="7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IT-Notfallstab arbeitet in RUHE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Priorisieren und fokussieren unbedingt auf die Kernsysteme (ERP)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Notieren sie unbedingt alle Erkenntnisse, idealerweise zentral und online, z.B. Nextcloud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Bitten Sie die Fachabteilungen um Geduld und Unterstützung</w:t>
      </w:r>
    </w:p>
    <w:p>
      <w:pPr>
        <w:pStyle w:val="BodyText"/>
        <w:numPr>
          <w:ilvl w:val="0"/>
          <w:numId w:val="7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IT-Sicherheit Dienstleister arbeitet in RUHE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Analyse und Forensik benötigen Zeiträume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Unterstützen Sie den/ die Dienstleister mit zeitnahen Rückmeldungen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Stellen Sie Fragen und halten Ihre Notizen auf dem Laufenden</w:t>
      </w:r>
    </w:p>
    <w:p>
      <w:pPr>
        <w:pStyle w:val="BodyText"/>
        <w:numPr>
          <w:ilvl w:val="0"/>
          <w:numId w:val="7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Überprüfung Backup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Sobald der Zeitpunkt der Infiltration bekannt ist, überprüfen Sie vorhandene Backups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Eventuell benötigen Sie eine gesonderte (temporäre) Systemlandschaft zur Wiederherstellung von Backups. Kontaktieren Sie entsprechend IT-Dienstleister für Unterstützung.</w:t>
      </w:r>
    </w:p>
    <w:p>
      <w:pPr>
        <w:pStyle w:val="BodyText"/>
        <w:numPr>
          <w:ilvl w:val="1"/>
          <w:numId w:val="7"/>
        </w:numPr>
        <w:bidi w:val="0"/>
        <w:rPr>
          <w:lang w:val="de-DE"/>
        </w:rPr>
      </w:pPr>
      <w:r>
        <w:rPr>
          <w:lang w:val="de-DE"/>
        </w:rPr>
        <w:t>Falls Sie Backup-Bänder von Ihrem Bank-Safe benötigen, beachten Sie (eventuell) die Öffnungszeiten</w:t>
      </w:r>
    </w:p>
    <w:p>
      <w:pPr>
        <w:pStyle w:val="Heading3"/>
        <w:bidi w:val="0"/>
        <w:ind w:hanging="0" w:start="0"/>
        <w:rPr>
          <w:lang w:val="de-DE"/>
        </w:rPr>
      </w:pPr>
      <w:bookmarkStart w:id="5" w:name="__RefHeading___Toc246_4187026063_Copy_1"/>
      <w:bookmarkEnd w:id="5"/>
      <w:r>
        <w:rPr>
          <w:shd w:fill="FFFF00" w:val="clear"/>
          <w:lang w:val="de-DE"/>
        </w:rPr>
        <w:t>TOP</w:t>
      </w:r>
      <w:r>
        <w:rPr>
          <w:shd w:fill="FFFF00" w:val="clear"/>
          <w:lang w:val="de-DE"/>
        </w:rPr>
        <w:t>3</w:t>
      </w:r>
      <w:r>
        <w:rPr>
          <w:shd w:fill="FFFF00" w:val="clear"/>
          <w:lang w:val="de-DE"/>
        </w:rPr>
        <w:t xml:space="preserve"> K</w:t>
      </w:r>
      <w:r>
        <w:rPr>
          <w:shd w:fill="FFFF00" w:val="clear"/>
          <w:lang w:val="de-DE"/>
        </w:rPr>
        <w:t>ernsysteme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4"/>
        <w:gridCol w:w="1607"/>
        <w:gridCol w:w="1606"/>
        <w:gridCol w:w="1607"/>
        <w:gridCol w:w="1607"/>
        <w:gridCol w:w="1607"/>
      </w:tblGrid>
      <w:tr>
        <w:trPr/>
        <w:tc>
          <w:tcPr>
            <w:tcW w:w="16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Kernsystem</w:t>
            </w:r>
            <w:r>
              <w:rPr>
                <w:b/>
                <w:bCs/>
                <w:sz w:val="20"/>
                <w:lang w:val="de-DE"/>
              </w:rPr>
              <w:t>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Kontakt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Mobil Geschäft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Email Geschäft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FQDN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IP(s)</w:t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Kernsystem</w:t>
            </w:r>
            <w:r>
              <w:rPr>
                <w:sz w:val="20"/>
                <w:lang w:val="de-DE"/>
              </w:rPr>
              <w:t xml:space="preserve"> 1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Kernsystem</w:t>
            </w:r>
            <w:r>
              <w:rPr>
                <w:sz w:val="20"/>
                <w:lang w:val="de-DE"/>
              </w:rPr>
              <w:t xml:space="preserve"> 2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Kernsystem</w:t>
            </w:r>
            <w:r>
              <w:rPr>
                <w:sz w:val="20"/>
                <w:lang w:val="de-DE"/>
              </w:rPr>
              <w:t xml:space="preserve"> 3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</w:tbl>
    <w:p>
      <w:pPr>
        <w:pStyle w:val="Normal"/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6" w:name="__RefHeading___Toc230_4187026063"/>
      <w:bookmarkEnd w:id="6"/>
      <w:r>
        <w:rPr>
          <w:lang w:val="de-DE"/>
        </w:rPr>
        <w:t>Aufgabenverteilung</w:t>
      </w:r>
    </w:p>
    <w:p>
      <w:pPr>
        <w:pStyle w:val="BodyText"/>
        <w:numPr>
          <w:ilvl w:val="0"/>
          <w:numId w:val="8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Volle Unterstützung für IT-Notfallstab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„</w:t>
      </w:r>
      <w:r>
        <w:rPr>
          <w:lang w:val="de-DE"/>
        </w:rPr>
        <w:t>Hätten wir dies, hätten wir das…“ hilft nicht weiter. Schauen Sie nach vorne.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An die Geschäftsleitung: investieren Sie in Pizza, Schokolade und Cola/ Kaffee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An die Mitarbeitenden: ein kurzes „Hallo, wollte mal sehen, wie es euch geht?“ hilft hier-und-da</w:t>
      </w:r>
    </w:p>
    <w:p>
      <w:pPr>
        <w:pStyle w:val="BodyText"/>
        <w:numPr>
          <w:ilvl w:val="0"/>
          <w:numId w:val="8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Mitarbeiter im BCM-Modus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Ein IT-Notfall ist eine Sondersituation. Unterstützen Sie so gut Sie in IHREM Bereich können.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Personalabteilung (HR): je nach Situation können Überstundenabbau oder spontaner Urlaub unterstützen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 xml:space="preserve">BCM ist dynamische Stabilität. Nur weil etwas heute nicht möglich ist, heisst das nicht, dass es in zwei Tagen vielleicht mit einem </w:t>
      </w:r>
      <w:r>
        <w:rPr>
          <w:lang w:val="en-US"/>
        </w:rPr>
        <w:t>Workaround</w:t>
      </w:r>
      <w:r>
        <w:rPr>
          <w:lang w:val="de-DE"/>
        </w:rPr>
        <w:t xml:space="preserve"> wieder geht.</w:t>
      </w:r>
    </w:p>
    <w:p>
      <w:pPr>
        <w:pStyle w:val="BodyText"/>
        <w:numPr>
          <w:ilvl w:val="0"/>
          <w:numId w:val="8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Dienstleister Unterstützung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Versuchen Sie einen „Kaltstart“ zu vermeiden. Informieren Sie sich frühzeitig über mögliche Dienstleister, die zu Ihnen passen und Ihnen im IT-Notfall verlässlich zur Seite stehen können.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Idealerweise können Sie auf langjährige, partnerschaftliche Dienstleister zählen. Diese kennen bereits Ihre System und können meist sehr schnell produktiv unterstützen.</w:t>
      </w:r>
    </w:p>
    <w:p>
      <w:pPr>
        <w:pStyle w:val="BodyText"/>
        <w:numPr>
          <w:ilvl w:val="1"/>
          <w:numId w:val="8"/>
        </w:numPr>
        <w:bidi w:val="0"/>
        <w:rPr>
          <w:lang w:val="de-DE"/>
        </w:rPr>
      </w:pPr>
      <w:r>
        <w:rPr>
          <w:lang w:val="de-DE"/>
        </w:rPr>
        <w:t>Bauen Sie sich ein kleines Netzwerk von vertrauensvollen Dienstleistern auf. Im IT-Notfall können Sie so schnell auch mal eine zweite Meinung einholen.</w:t>
      </w:r>
    </w:p>
    <w:p>
      <w:pPr>
        <w:pStyle w:val="Heading1"/>
        <w:numPr>
          <w:ilvl w:val="0"/>
          <w:numId w:val="0"/>
        </w:numPr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7" w:name="__RefHeading___Toc232_4187026063"/>
      <w:bookmarkEnd w:id="7"/>
      <w:r>
        <w:rPr>
          <w:lang w:val="de-DE"/>
        </w:rPr>
        <w:t>Zweite Ordnung: Kern- und Umsysteme</w:t>
      </w:r>
    </w:p>
    <w:p>
      <w:pPr>
        <w:pStyle w:val="BodyText"/>
        <w:numPr>
          <w:ilvl w:val="0"/>
          <w:numId w:val="9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Kernsysteme sind wieder "Grün"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Bleiben Sie aufmerksam.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Priorisieren Sie die Bereiche, die wieder produktiv mit den Systemen arbeiten, z.B. „Finance first“.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Bringen Sie langsam wieder Last auf die produktiven Systeme, z.B. starten Sie manuell automatisierte Prozesse (Hintergrundjobs etc.).</w:t>
      </w:r>
    </w:p>
    <w:p>
      <w:pPr>
        <w:pStyle w:val="BodyText"/>
        <w:numPr>
          <w:ilvl w:val="0"/>
          <w:numId w:val="9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Umsysteme schrittweise in RUHE hochfahren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Ü</w:t>
      </w:r>
      <w:r>
        <w:rPr>
          <w:lang w:val="de-DE"/>
        </w:rPr>
        <w:t>berprüfen Sie die Umsysteme auf Sicherheitslücken BEVOR Sie diese wieder hochfahren, bzw. von „Aussen“ wieder erreichbar machen.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Dokumentieren Sie den Wiederanlauf.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Planen Sie Puffer ein, z.B. alle 4 Stunden ein weiteres System</w:t>
      </w:r>
    </w:p>
    <w:p>
      <w:pPr>
        <w:pStyle w:val="BodyText"/>
        <w:numPr>
          <w:ilvl w:val="0"/>
          <w:numId w:val="9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Überprüfung Prozesse durch Key-User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Lassen Sie ausgewählte Prozesse &amp; Transaktionen durch die Key-User in den Fachbereichen „end-to-end“ durchführen. Falls möglich, zu Beginn auf den Test-Systemen und nach erfolgreichem Resultat in den produktiven Systemen. Hier hilft auch die Unterstützung von z.B. „befreundeten“ (Pilot-)Kunden.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Führen Sie eine zentrale Liste mit den Prozess Ergebnissen auf die die Key-User gemeinsam zugreifen und editieren können.</w:t>
      </w:r>
    </w:p>
    <w:p>
      <w:pPr>
        <w:pStyle w:val="BodyText"/>
        <w:numPr>
          <w:ilvl w:val="1"/>
          <w:numId w:val="9"/>
        </w:numPr>
        <w:bidi w:val="0"/>
        <w:rPr>
          <w:lang w:val="de-DE"/>
        </w:rPr>
      </w:pPr>
      <w:r>
        <w:rPr>
          <w:lang w:val="de-DE"/>
        </w:rPr>
        <w:t>Etablieren Sie diese (temporären) Überprüfungen über einen Meilenstein hinweg, z.B. Monatsabschluss.</w:t>
      </w:r>
    </w:p>
    <w:p>
      <w:pPr>
        <w:pStyle w:val="Heading3"/>
        <w:bidi w:val="0"/>
        <w:ind w:hanging="0" w:start="0"/>
        <w:rPr>
          <w:lang w:val="de-DE"/>
        </w:rPr>
      </w:pPr>
      <w:bookmarkStart w:id="8" w:name="__RefHeading___Toc246_4187026063_Copy_1_"/>
      <w:bookmarkEnd w:id="8"/>
      <w:r>
        <w:rPr>
          <w:shd w:fill="FFFF00" w:val="clear"/>
          <w:lang w:val="de-DE"/>
        </w:rPr>
        <w:t>TOP</w:t>
      </w:r>
      <w:r>
        <w:rPr>
          <w:shd w:fill="FFFF00" w:val="clear"/>
          <w:lang w:val="de-DE"/>
        </w:rPr>
        <w:t>5</w:t>
      </w:r>
      <w:r>
        <w:rPr>
          <w:shd w:fill="FFFF00" w:val="clear"/>
          <w:lang w:val="de-DE"/>
        </w:rPr>
        <w:t xml:space="preserve"> </w:t>
      </w:r>
      <w:r>
        <w:rPr>
          <w:shd w:fill="FFFF00" w:val="clear"/>
          <w:lang w:val="de-DE"/>
        </w:rPr>
        <w:t>Umsysteme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4"/>
        <w:gridCol w:w="1607"/>
        <w:gridCol w:w="1606"/>
        <w:gridCol w:w="1607"/>
        <w:gridCol w:w="1607"/>
        <w:gridCol w:w="1607"/>
      </w:tblGrid>
      <w:tr>
        <w:trPr/>
        <w:tc>
          <w:tcPr>
            <w:tcW w:w="16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Umsysteme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Kontakt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Mobil Geschäft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Email Geschäft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FQDN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IP(s)</w:t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Umsystem</w:t>
            </w:r>
            <w:r>
              <w:rPr>
                <w:sz w:val="20"/>
                <w:lang w:val="de-DE"/>
              </w:rPr>
              <w:t xml:space="preserve"> 1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Umsystem</w:t>
            </w:r>
            <w:r>
              <w:rPr>
                <w:sz w:val="20"/>
                <w:lang w:val="de-DE"/>
              </w:rPr>
              <w:t xml:space="preserve"> 2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Umsystem</w:t>
            </w:r>
            <w:r>
              <w:rPr>
                <w:sz w:val="20"/>
                <w:lang w:val="de-DE"/>
              </w:rPr>
              <w:t xml:space="preserve"> 3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Umsystem 4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Umsystem 5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</w:tbl>
    <w:p>
      <w:pPr>
        <w:pStyle w:val="Normal"/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9" w:name="__RefHeading___Toc234_4187026063"/>
      <w:bookmarkEnd w:id="9"/>
      <w:r>
        <w:rPr>
          <w:lang w:val="de-DE"/>
        </w:rPr>
        <w:t>Übersicht</w:t>
      </w:r>
    </w:p>
    <w:p>
      <w:pPr>
        <w:pStyle w:val="BodyText"/>
        <w:numPr>
          <w:ilvl w:val="0"/>
          <w:numId w:val="10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Entwarnung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Entwarnung kann es nur für den aktuellen Vorfall geben. Leider.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Nutzen Sie die Kommunikation über die Entwarnung zur Sensibilisierung der Mitarbeitenden.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Idealerweise können Sie die Entwarnung mit einer kurzen Zusammenkunft der Mitarbeitenden verbinden.</w:t>
      </w:r>
    </w:p>
    <w:p>
      <w:pPr>
        <w:pStyle w:val="BodyText"/>
        <w:numPr>
          <w:ilvl w:val="0"/>
          <w:numId w:val="10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Hyper-Care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Je nach Angriffsvektor empfiehlt sich eine 2-4 wöchige Hyper-Care Phase. In dieser Zeit gilt für den IT-Notfallstab ein erhöhter Fokus auf geringere Auffälligkeiten.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Ä</w:t>
      </w:r>
      <w:r>
        <w:rPr>
          <w:lang w:val="de-DE"/>
        </w:rPr>
        <w:t>nderung der Melde-Filter von evtl. „nur HIGH“ auf „LOW, MID und HIGH“, um alle Meldungen prüfen zu können.</w:t>
      </w:r>
    </w:p>
    <w:p>
      <w:pPr>
        <w:pStyle w:val="BodyText"/>
        <w:numPr>
          <w:ilvl w:val="0"/>
          <w:numId w:val="10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Ent-Spannung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Nach der Cyber-Attacke ist vor der nächsten Cyber-Attacke.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Planen Sie (rollierenden) Überstundenabbau und/ oder Urlaub für den IT-Notfallstab ein.</w:t>
      </w:r>
    </w:p>
    <w:p>
      <w:pPr>
        <w:pStyle w:val="BodyText"/>
        <w:numPr>
          <w:ilvl w:val="1"/>
          <w:numId w:val="10"/>
        </w:numPr>
        <w:bidi w:val="0"/>
        <w:rPr>
          <w:lang w:val="de-DE"/>
        </w:rPr>
      </w:pPr>
      <w:r>
        <w:rPr>
          <w:lang w:val="de-DE"/>
        </w:rPr>
        <w:t>Geschäftsleitung: investieren Sie in ein (kleines) Team-Event</w:t>
      </w:r>
    </w:p>
    <w:p>
      <w:pPr>
        <w:pStyle w:val="Heading1"/>
        <w:numPr>
          <w:ilvl w:val="0"/>
          <w:numId w:val="0"/>
        </w:numPr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10" w:name="__RefHeading___Toc236_4187026063"/>
      <w:bookmarkEnd w:id="10"/>
      <w:r>
        <w:rPr>
          <w:lang w:val="de-DE"/>
        </w:rPr>
        <w:t>Lernkurve</w:t>
      </w:r>
    </w:p>
    <w:p>
      <w:pPr>
        <w:pStyle w:val="BodyText"/>
        <w:numPr>
          <w:ilvl w:val="0"/>
          <w:numId w:val="11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Dokumentation Vorfall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Investieren Sie unbedingt ausreichend Zeit in die Aufarbeitung des Vorfalls, um zukünftige Wiederholungen zu vermeiden.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Nutzen Sie Ihre Notizen, um eine prägnante Zusammenfassung für die Cyber-Security Versicherung erstellen zu können.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Teilen Sie Ihre Erfahrungen mit anderen Unternehmen, z.B. über CIO Netzwerke.</w:t>
      </w:r>
    </w:p>
    <w:p>
      <w:pPr>
        <w:pStyle w:val="BodyText"/>
        <w:numPr>
          <w:ilvl w:val="0"/>
          <w:numId w:val="11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Umfrage BCM bei Mitarbeitern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Je nach Situation/ Ablauf, nutzen Sie die Ereignisse, um von den Mitarbeitenden zu erfahren, wie das aktuelle BCM-Konzept verbessert werden kann.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Bauen Sie offene Fragen in die Umfrage mit ein, um eventuell ganz neue Erkenntnisse zu gewinnen.</w:t>
      </w:r>
    </w:p>
    <w:p>
      <w:pPr>
        <w:pStyle w:val="BodyText"/>
        <w:numPr>
          <w:ilvl w:val="0"/>
          <w:numId w:val="11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Validierung Dienstleister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Ü</w:t>
      </w:r>
      <w:r>
        <w:rPr>
          <w:lang w:val="de-DE"/>
        </w:rPr>
        <w:t>berprüfen Sie möglichst objektiv die Qualität der Unterstützung ihrer Dienstleister.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Wie war die Verfügbarkeit, Reaktionszeit, Tiefe des Verständnisses und allgemeine Kompetenz?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Wurde der Vorfall gemeinsam als „Team of Teams“ bearbeitet oder haben Sie anderes erlebt?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Wie ist der Blick nach Vorne? Welche präventiven Vorschläge/ Ideen kamen von welchem Dienstleister?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Sind Sie zufrieden mit Ihrer Cyber-Security Versicherung?</w:t>
      </w:r>
    </w:p>
    <w:p>
      <w:pPr>
        <w:pStyle w:val="BodyText"/>
        <w:numPr>
          <w:ilvl w:val="0"/>
          <w:numId w:val="11"/>
        </w:numPr>
        <w:bidi w:val="0"/>
        <w:rPr>
          <w:b/>
          <w:bCs/>
          <w:lang w:val="de-DE"/>
        </w:rPr>
      </w:pPr>
      <w:r>
        <w:rPr>
          <w:b/>
          <w:bCs/>
          <w:lang w:val="de-DE"/>
        </w:rPr>
        <w:t>Kaizen/ KVP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Wäre der Vorfall vermeidbar gewesen? Falls ja, wie?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Was hat sich seit dem Vorfall sichtlich/ spürbar verändert?</w:t>
      </w:r>
    </w:p>
    <w:p>
      <w:pPr>
        <w:pStyle w:val="BodyText"/>
        <w:numPr>
          <w:ilvl w:val="1"/>
          <w:numId w:val="11"/>
        </w:numPr>
        <w:bidi w:val="0"/>
        <w:rPr>
          <w:lang w:val="de-DE"/>
        </w:rPr>
      </w:pPr>
      <w:r>
        <w:rPr>
          <w:lang w:val="de-DE"/>
        </w:rPr>
        <w:t>Hat der Vorfall die Mitarbeitenden sensibler gemacht? Falls ja, ist es messbar?</w:t>
      </w:r>
    </w:p>
    <w:p>
      <w:pPr>
        <w:pStyle w:val="Heading1"/>
        <w:numPr>
          <w:ilvl w:val="0"/>
          <w:numId w:val="0"/>
        </w:numPr>
        <w:bidi w:val="0"/>
        <w:rPr>
          <w:lang w:val="de-DE"/>
        </w:rPr>
      </w:pPr>
      <w:r>
        <w:rPr>
          <w:lang w:val="de-DE"/>
        </w:rPr>
      </w:r>
      <w:r>
        <w:br w:type="page"/>
      </w:r>
    </w:p>
    <w:p>
      <w:pPr>
        <w:pStyle w:val="Heading1"/>
        <w:bidi w:val="0"/>
        <w:ind w:hanging="0" w:start="0"/>
        <w:rPr>
          <w:lang w:val="de-DE"/>
        </w:rPr>
      </w:pPr>
      <w:bookmarkStart w:id="11" w:name="__RefHeading___Toc238_4187026063"/>
      <w:bookmarkEnd w:id="11"/>
      <w:r>
        <w:rPr>
          <w:lang w:val="de-DE"/>
        </w:rPr>
        <w:t>Kontakte</w:t>
      </w:r>
    </w:p>
    <w:p>
      <w:pPr>
        <w:pStyle w:val="Heading3"/>
        <w:bidi w:val="0"/>
        <w:ind w:hanging="0" w:start="0"/>
        <w:rPr>
          <w:lang w:val="de-DE"/>
        </w:rPr>
      </w:pPr>
      <w:bookmarkStart w:id="12" w:name="__RefHeading___Toc240_4187026063"/>
      <w:bookmarkEnd w:id="12"/>
      <w:r>
        <w:rPr>
          <w:lang w:val="de-DE"/>
        </w:rPr>
        <w:t xml:space="preserve">Intern: </w:t>
      </w:r>
      <w:r>
        <w:rPr>
          <w:shd w:fill="FFFF00" w:val="clear"/>
          <w:lang w:val="de-DE"/>
        </w:rPr>
        <w:t>Unternehmensführung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4"/>
        <w:gridCol w:w="1607"/>
        <w:gridCol w:w="1606"/>
        <w:gridCol w:w="1607"/>
        <w:gridCol w:w="1607"/>
        <w:gridCol w:w="1607"/>
      </w:tblGrid>
      <w:tr>
        <w:trPr/>
        <w:tc>
          <w:tcPr>
            <w:tcW w:w="16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Rolle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Inhaber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Geschäftsführer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Finanzen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Rechtsabteilung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...</w:t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Name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Mobil Geschäft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Mobil Privat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Email Geschäft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Email Privat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</w:tbl>
    <w:p>
      <w:pPr>
        <w:pStyle w:val="Heading3"/>
        <w:bidi w:val="0"/>
        <w:ind w:hanging="0" w:start="0"/>
        <w:rPr>
          <w:lang w:val="de-DE"/>
        </w:rPr>
      </w:pPr>
      <w:bookmarkStart w:id="13" w:name="__RefHeading___Toc242_4187026063"/>
      <w:bookmarkEnd w:id="13"/>
      <w:r>
        <w:rPr>
          <w:lang w:val="de-DE"/>
        </w:rPr>
        <w:t xml:space="preserve">Intern: </w:t>
      </w:r>
      <w:r>
        <w:rPr>
          <w:shd w:fill="FFFF00" w:val="clear"/>
          <w:lang w:val="de-DE"/>
        </w:rPr>
        <w:t>IT-Notfallstab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4"/>
        <w:gridCol w:w="1607"/>
        <w:gridCol w:w="1606"/>
        <w:gridCol w:w="1607"/>
        <w:gridCol w:w="1607"/>
        <w:gridCol w:w="1607"/>
      </w:tblGrid>
      <w:tr>
        <w:trPr/>
        <w:tc>
          <w:tcPr>
            <w:tcW w:w="16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Rolle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IT Leiter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IT Admin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IT Sicherheit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ERP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...</w:t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Name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Mobil Geschäft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Mobil Privat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Email Geschäft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Email Privat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</w:tbl>
    <w:p>
      <w:pPr>
        <w:pStyle w:val="Heading3"/>
        <w:bidi w:val="0"/>
        <w:ind w:hanging="0" w:start="0"/>
        <w:rPr>
          <w:lang w:val="de-DE"/>
        </w:rPr>
      </w:pPr>
      <w:bookmarkStart w:id="14" w:name="__RefHeading___Toc244_4187026063"/>
      <w:bookmarkEnd w:id="14"/>
      <w:r>
        <w:rPr>
          <w:lang w:val="de-DE"/>
        </w:rPr>
        <w:t xml:space="preserve">Extern: </w:t>
      </w:r>
      <w:r>
        <w:rPr>
          <w:shd w:fill="FFFF00" w:val="clear"/>
          <w:lang w:val="de-DE"/>
        </w:rPr>
        <w:t xml:space="preserve">Cyber-Versicherung </w:t>
      </w:r>
      <w:r>
        <w:rPr>
          <w:shd w:fill="FFFF00" w:val="clear"/>
          <w:lang w:val="de-DE"/>
        </w:rPr>
        <w:t>&amp; IT-Dienstleister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4"/>
        <w:gridCol w:w="1607"/>
        <w:gridCol w:w="1606"/>
        <w:gridCol w:w="1607"/>
        <w:gridCol w:w="1607"/>
        <w:gridCol w:w="1607"/>
      </w:tblGrid>
      <w:tr>
        <w:trPr/>
        <w:tc>
          <w:tcPr>
            <w:tcW w:w="16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Rolle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Cyber-Versicherung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IT-Sicherheit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Hard- und Software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Netzwerk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...</w:t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Name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Ansprechpartner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Mobil Geschäft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Email Geschäft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</w:tbl>
    <w:p>
      <w:pPr>
        <w:pStyle w:val="Heading3"/>
        <w:bidi w:val="0"/>
        <w:ind w:hanging="0" w:start="0"/>
        <w:rPr>
          <w:lang w:val="de-DE"/>
        </w:rPr>
      </w:pPr>
      <w:bookmarkStart w:id="15" w:name="__RefHeading___Toc246_4187026063"/>
      <w:bookmarkEnd w:id="15"/>
      <w:r>
        <w:rPr>
          <w:lang w:val="de-DE"/>
        </w:rPr>
        <w:t xml:space="preserve">Extern: </w:t>
      </w:r>
      <w:r>
        <w:rPr>
          <w:shd w:fill="FFFF00" w:val="clear"/>
          <w:lang w:val="de-DE"/>
        </w:rPr>
        <w:t>TOP</w:t>
      </w:r>
      <w:r>
        <w:rPr>
          <w:shd w:fill="FFFF00" w:val="clear"/>
          <w:lang w:val="de-DE"/>
        </w:rPr>
        <w:t>5</w:t>
      </w:r>
      <w:r>
        <w:rPr>
          <w:shd w:fill="FFFF00" w:val="clear"/>
          <w:lang w:val="de-DE"/>
        </w:rPr>
        <w:t xml:space="preserve"> Kunden &amp; Lieferanten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4"/>
        <w:gridCol w:w="1607"/>
        <w:gridCol w:w="1606"/>
        <w:gridCol w:w="1607"/>
        <w:gridCol w:w="1607"/>
        <w:gridCol w:w="1607"/>
      </w:tblGrid>
      <w:tr>
        <w:trPr/>
        <w:tc>
          <w:tcPr>
            <w:tcW w:w="16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Firma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Kontakt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Mobil Geschäft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Email Geschäft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Bereich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lang w:val="de-DE"/>
              </w:rPr>
              <w:t>Notizen...</w:t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Firma 1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Firma 2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Firma 3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/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Firma 4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  <w:tr>
        <w:trPr>
          <w:trHeight w:val="377" w:hRule="atLeast"/>
        </w:trPr>
        <w:tc>
          <w:tcPr>
            <w:tcW w:w="160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t>Firma 5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</w:r>
          </w:p>
        </w:tc>
      </w:tr>
    </w:tbl>
    <w:p>
      <w:pPr>
        <w:pStyle w:val="Normal"/>
        <w:bidi w:val="0"/>
        <w:rPr>
          <w:lang w:val="de-DE"/>
        </w:rPr>
      </w:pPr>
      <w:r>
        <w:rPr>
          <w:lang w:val="de-DE"/>
        </w:rPr>
      </w:r>
    </w:p>
    <w:sectPr>
      <w:headerReference w:type="even" r:id="rId6"/>
      <w:headerReference w:type="default" r:id="rId7"/>
      <w:footerReference w:type="even" r:id="rId8"/>
      <w:footerReference w:type="default" r:id="rId9"/>
      <w:type w:val="nextPage"/>
      <w:pgSz w:w="11906" w:h="16838"/>
      <w:pgMar w:left="1134" w:right="1134" w:gutter="0" w:header="1134" w:top="1693" w:footer="1134" w:bottom="197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Liberation Mono">
    <w:altName w:val="Courier New"/>
    <w:charset w:val="01" w:characterSet="utf-8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reformattedText"/>
      <w:bidi w:val="0"/>
      <w:spacing w:before="0" w:after="0"/>
      <w:rPr>
        <w:vanish/>
        <w:lang w:val="de-DE"/>
        <w:specVanish/>
      </w:rPr>
    </w:pPr>
    <w:r>
      <w:rPr>
        <w:lang w:val="de-DE"/>
      </w:rPr>
      <w:t>Cyber-IT-Sicherheit.de</w:t>
    </w:r>
  </w:p>
  <w:p>
    <w:pPr>
      <w:pStyle w:val="Footer"/>
      <w:bidi w:val="0"/>
      <w:jc w:val="end"/>
      <w:rPr>
        <w:lang w:val="de-DE"/>
      </w:rPr>
    </w:pPr>
    <w:bookmarkStart w:id="16" w:name="PageNumWizard_FOOTER_Default_Page_Style1"/>
    <w:bookmarkEnd w:id="16"/>
    <w:r/>
    <w:r>
      <w:rPr>
        <w:lang w:val="de-DE"/>
      </w:rPr>
    </w:r>
    <w:r>
      <w:rPr>
        <w:lang w:val="de-DE"/>
      </w:rPr>
      <w:tab/>
      <w:tab/>
    </w:r>
    <w:r>
      <w:rPr>
        <w:lang w:val="de-DE"/>
      </w:rPr>
      <w:t xml:space="preserve"> </w:t>
    </w:r>
    <w:bookmarkStart w:id="17" w:name="PageNumWizard_FOOTER_Default_Page_Style2"/>
    <w:r>
      <w:rPr>
        <w:lang w:val="de-DE"/>
      </w:rPr>
      <w:fldChar w:fldCharType="begin"/>
    </w:r>
    <w:r>
      <w:rPr>
        <w:lang w:val="de-DE"/>
      </w:rPr>
      <w:instrText xml:space="preserve"> PAGE </w:instrText>
    </w:r>
    <w:r>
      <w:rPr>
        <w:lang w:val="de-DE"/>
      </w:rPr>
      <w:fldChar w:fldCharType="separate"/>
    </w:r>
    <w:r>
      <w:rPr>
        <w:lang w:val="de-DE"/>
      </w:rPr>
      <w:t>10</w:t>
    </w:r>
    <w:r>
      <w:rPr>
        <w:lang w:val="de-DE"/>
      </w:rPr>
      <w:fldChar w:fldCharType="end"/>
    </w:r>
    <w:bookmarkEnd w:id="17"/>
    <w:r>
      <w:rPr>
        <w:lang w:val="de-DE"/>
      </w:rPr>
      <w:t>/</w:t>
    </w:r>
    <w:r>
      <w:rPr>
        <w:lang w:val="de-DE"/>
      </w:rPr>
      <w:fldChar w:fldCharType="begin"/>
    </w:r>
    <w:r>
      <w:rPr>
        <w:lang w:val="de-DE"/>
      </w:rPr>
      <w:instrText xml:space="preserve"> NUMPAGES </w:instrText>
    </w:r>
    <w:r>
      <w:rPr>
        <w:lang w:val="de-DE"/>
      </w:rPr>
      <w:fldChar w:fldCharType="separate"/>
    </w:r>
    <w:r>
      <w:rPr>
        <w:lang w:val="de-DE"/>
      </w:rPr>
      <w:t>11</w:t>
    </w:r>
    <w:r>
      <w:rPr>
        <w:lang w:val="de-DE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end"/>
      <w:rPr>
        <w:lang w:val="de-DE"/>
      </w:rPr>
    </w:pPr>
    <w:r>
      <w:rPr>
        <w:lang w:val="de-DE"/>
      </w:rPr>
    </w:r>
  </w:p>
  <w:p>
    <w:pPr>
      <w:pStyle w:val="PreformattedText"/>
      <w:bidi w:val="0"/>
      <w:spacing w:before="0" w:after="0"/>
      <w:rPr>
        <w:vanish/>
        <w:lang w:val="de-DE"/>
        <w:specVanish/>
      </w:rPr>
    </w:pPr>
    <w:hyperlink r:id="rId1">
      <w:r>
        <w:rPr>
          <w:rStyle w:val="Hyperlink"/>
          <w:lang w:val="de-DE"/>
        </w:rPr>
        <w:t>Cyber-IT-Sicherheit.de</w:t>
      </w:r>
    </w:hyperlink>
  </w:p>
  <w:p>
    <w:pPr>
      <w:pStyle w:val="Footer"/>
      <w:bidi w:val="0"/>
      <w:jc w:val="end"/>
      <w:rPr>
        <w:lang w:val="de-DE"/>
      </w:rPr>
    </w:pPr>
    <w:r/>
    <w:r>
      <w:rPr>
        <w:lang w:val="de-DE"/>
      </w:rPr>
    </w:r>
    <w:r>
      <w:rPr>
        <w:lang w:val="de-DE"/>
      </w:rPr>
      <w:tab/>
      <w:tab/>
    </w:r>
    <w:r>
      <w:rPr>
        <w:lang w:val="de-DE"/>
      </w:rPr>
      <w:fldChar w:fldCharType="begin"/>
    </w:r>
    <w:r>
      <w:rPr>
        <w:lang w:val="de-DE"/>
      </w:rPr>
      <w:instrText xml:space="preserve"> PAGE </w:instrText>
    </w:r>
    <w:r>
      <w:rPr>
        <w:lang w:val="de-DE"/>
      </w:rPr>
      <w:fldChar w:fldCharType="separate"/>
    </w:r>
    <w:r>
      <w:rPr>
        <w:lang w:val="de-DE"/>
      </w:rPr>
      <w:t>11</w:t>
    </w:r>
    <w:r>
      <w:rPr>
        <w:lang w:val="de-DE"/>
      </w:rPr>
      <w:fldChar w:fldCharType="end"/>
    </w:r>
    <w:r>
      <w:rPr>
        <w:lang w:val="de-DE"/>
      </w:rPr>
      <w:t>/</w:t>
    </w:r>
    <w:r>
      <w:rPr>
        <w:lang w:val="de-DE"/>
      </w:rPr>
      <w:fldChar w:fldCharType="begin"/>
    </w:r>
    <w:r>
      <w:rPr>
        <w:lang w:val="de-DE"/>
      </w:rPr>
      <w:instrText xml:space="preserve"> NUMPAGES </w:instrText>
    </w:r>
    <w:r>
      <w:rPr>
        <w:lang w:val="de-DE"/>
      </w:rPr>
      <w:fldChar w:fldCharType="separate"/>
    </w:r>
    <w:r>
      <w:rPr>
        <w:lang w:val="de-DE"/>
      </w:rPr>
      <w:t>11</w:t>
    </w:r>
    <w:r>
      <w:rPr>
        <w:lang w:val="de-DE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rPr>
        <w:lang w:val="de-DE"/>
      </w:rPr>
    </w:pPr>
    <w:r>
      <w:rPr>
        <w:lang w:val="de-DE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rPr>
        <w:lang w:val="de-DE"/>
      </w:rPr>
    </w:pPr>
    <w:r>
      <w:rPr>
        <w:lang w:val="de-D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pStyle w:val="Heading2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75"/>
  <w:mirrorMargins/>
  <w:defaultTabStop w:val="709"/>
  <w:autoHyphenation w:val="true"/>
  <w:hyphenationZone w:val="0"/>
  <w:evenAndOddHeaders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both"/>
    </w:pPr>
    <w:rPr>
      <w:rFonts w:ascii="Liberation Serif" w:hAnsi="Liberation Serif" w:eastAsia="Songti SC" w:cs="Arial Unicode MS"/>
      <w:color w:val="auto"/>
      <w:kern w:val="2"/>
      <w:sz w:val="24"/>
      <w:szCs w:val="24"/>
      <w:lang w:val="de-DE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NumberingSymbols">
    <w:name w:val="Numbering Symbols"/>
    <w:qFormat/>
    <w:rPr/>
  </w:style>
  <w:style w:type="character" w:styleId="Hyperlink">
    <w:name w:val="Hyperlink"/>
    <w:rPr>
      <w:color w:val="000080"/>
      <w:u w:val="single"/>
    </w:rPr>
  </w:style>
  <w:style w:type="character" w:styleId="IndexLink">
    <w:name w:val="Index Link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lang w:val="de-DE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IndexHeading">
    <w:name w:val="index heading"/>
    <w:basedOn w:val="Heading"/>
    <w:pPr>
      <w:suppressLineNumbers/>
      <w:ind w:hanging="0" w:start="0"/>
    </w:pPr>
    <w:rPr>
      <w:b/>
      <w:bCs/>
      <w:sz w:val="32"/>
      <w:szCs w:val="32"/>
    </w:rPr>
  </w:style>
  <w:style w:type="paragraph" w:styleId="TOCHeading">
    <w:name w:val="TOC Heading"/>
    <w:basedOn w:val="IndexHeading"/>
    <w:qFormat/>
    <w:pPr>
      <w:suppressLineNumbers/>
      <w:ind w:hanging="0" w:start="0"/>
    </w:pPr>
    <w:rPr>
      <w:b/>
      <w:bCs/>
      <w:sz w:val="32"/>
      <w:szCs w:val="32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OC1">
    <w:name w:val="toc 1"/>
    <w:basedOn w:val="Index"/>
    <w:pPr>
      <w:tabs>
        <w:tab w:val="clear" w:pos="709"/>
        <w:tab w:val="right" w:pos="9638" w:leader="dot"/>
      </w:tabs>
      <w:ind w:hanging="0" w:start="0"/>
    </w:pPr>
    <w:rPr/>
  </w:style>
  <w:style w:type="paragraph" w:styleId="FrameContents">
    <w:name w:val="Frame Contents"/>
    <w:basedOn w:val="Normal"/>
    <w:qFormat/>
    <w:pPr/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BlockQuotation">
    <w:name w:val="Block Quotation"/>
    <w:basedOn w:val="Normal"/>
    <w:qFormat/>
    <w:pPr>
      <w:spacing w:before="0" w:after="283"/>
      <w:ind w:hanging="0" w:start="567" w:end="567"/>
    </w:pPr>
    <w:rPr/>
  </w:style>
  <w:style w:type="paragraph" w:styleId="TOC3">
    <w:name w:val="toc 3"/>
    <w:basedOn w:val="Index"/>
    <w:pPr>
      <w:tabs>
        <w:tab w:val="clear" w:pos="709"/>
        <w:tab w:val="right" w:pos="9638" w:leader="dot"/>
      </w:tabs>
      <w:ind w:hanging="0" w:start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bsi.bund.de/DE/Themen/Unternehmen-und-Organisationen/Standards-und-Zertifizierung/IT-Grundschutz/BSI-Standards/BSI-Standard-200-4-Business-Continuity-Management/BSI-Standard-200-4_Hilfsmittel/BSI_Standard_200_4_Hilfsmittel_node.html" TargetMode="External"/><Relationship Id="rId3" Type="http://schemas.openxmlformats.org/officeDocument/2006/relationships/hyperlink" Target="https://www.bsi.bund.de/DE/Themen/Unternehmen-und-Organisationen/Standards-und-Zertifizierung/IT-Grundschutz/BSI-Standards/BSI-Standard-200-4-Business-Continuity-Management/BSI-Standard-200-4_Hilfsmittel/BSI_Standard_200_4_Hilfsmittel_node.html" TargetMode="External"/><Relationship Id="rId4" Type="http://schemas.openxmlformats.org/officeDocument/2006/relationships/image" Target="media/image1.png"/><Relationship Id="rId5" Type="http://schemas.openxmlformats.org/officeDocument/2006/relationships/hyperlink" Target="https://t1p.de/00e5p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Cyber-IT-Sicherheit.de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1801</TotalTime>
  <Application>LibreOffice/25.8.1.1$MacOSX_AARCH64 LibreOffice_project/54047653041915e595ad4e45cccea684809c77b5</Application>
  <AppVersion>15.0000</AppVersion>
  <Pages>11</Pages>
  <Words>1860</Words>
  <Characters>11844</Characters>
  <CharactersWithSpaces>13338</CharactersWithSpaces>
  <Paragraphs>235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2025-09-16T13:06:12Z</dcterms:created>
  <dc:creator/>
  <dc:description/>
  <dc:language>en-US</dc:language>
  <cp:lastModifiedBy/>
  <cp:lastPrinted>2025-09-24T13:07:19Z</cp:lastPrinted>
  <dcterms:modified xsi:type="dcterms:W3CDTF">2025-09-24T13:07:11Z</dcterms:modified>
  <cp:revision>57</cp:revision>
  <dc:subject/>
  <dc:title>IT-Notfallplan</dc:title>
</cp:coreProperties>
</file>